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B55ACA" w14:textId="676D9ECE" w:rsidR="00670790" w:rsidRDefault="009679C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B5958" wp14:editId="6F21314F">
                <wp:simplePos x="0" y="0"/>
                <wp:positionH relativeFrom="column">
                  <wp:posOffset>2083435</wp:posOffset>
                </wp:positionH>
                <wp:positionV relativeFrom="paragraph">
                  <wp:posOffset>23495</wp:posOffset>
                </wp:positionV>
                <wp:extent cx="3810000" cy="971550"/>
                <wp:effectExtent l="19050" t="19050" r="19050" b="19050"/>
                <wp:wrapSquare wrapText="bothSides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554C6F" w14:textId="77777777" w:rsidR="002C70F0" w:rsidRPr="00DB218D" w:rsidRDefault="002C70F0" w:rsidP="002C70F0">
                            <w:pPr>
                              <w:pStyle w:val="Subtitle"/>
                              <w:rPr>
                                <w:rFonts w:ascii="Arial" w:hAnsi="Arial" w:cs="Arial"/>
                                <w:color w:val="0A33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B218D">
                              <w:rPr>
                                <w:rFonts w:ascii="Arial" w:hAnsi="Arial" w:cs="Arial"/>
                                <w:color w:val="0A3399"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 w:rsidRPr="00DB218D">
                              <w:rPr>
                                <w:rFonts w:ascii="Arial" w:hAnsi="Arial" w:cs="Arial"/>
                                <w:color w:val="0A3399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DB218D">
                              <w:rPr>
                                <w:rFonts w:ascii="Arial" w:hAnsi="Arial" w:cs="Arial"/>
                                <w:color w:val="0A3399"/>
                                <w:sz w:val="28"/>
                                <w:szCs w:val="28"/>
                                <w:lang w:val="en-GB"/>
                              </w:rPr>
                              <w:t xml:space="preserve"> Meeting of the Monitoring Committee </w:t>
                            </w:r>
                          </w:p>
                          <w:p w14:paraId="3161FF10" w14:textId="77777777" w:rsidR="002C70F0" w:rsidRPr="00DB218D" w:rsidRDefault="002C70F0" w:rsidP="002C70F0">
                            <w:pPr>
                              <w:pStyle w:val="Subtitle"/>
                              <w:rPr>
                                <w:rFonts w:ascii="Arial" w:hAnsi="Arial" w:cs="Arial"/>
                                <w:color w:val="0A339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B218D">
                              <w:rPr>
                                <w:rFonts w:ascii="Arial" w:hAnsi="Arial" w:cs="Arial"/>
                                <w:color w:val="0A3399"/>
                                <w:sz w:val="28"/>
                                <w:szCs w:val="28"/>
                                <w:lang w:val="en-GB"/>
                              </w:rPr>
                              <w:t>of Interreg V-A Latvia-Lithuania Programme 2014 – 2020</w:t>
                            </w:r>
                          </w:p>
                          <w:p w14:paraId="1782E042" w14:textId="77777777" w:rsidR="002C70F0" w:rsidRPr="00DA5C8E" w:rsidRDefault="002C70F0" w:rsidP="002C70F0">
                            <w:pPr>
                              <w:jc w:val="center"/>
                              <w:rPr>
                                <w:rFonts w:ascii="Arial" w:hAnsi="Arial" w:cs="Arial"/>
                                <w:color w:val="143366"/>
                                <w:sz w:val="28"/>
                                <w:szCs w:val="28"/>
                              </w:rPr>
                            </w:pPr>
                          </w:p>
                          <w:p w14:paraId="12E1F67B" w14:textId="77777777" w:rsidR="002C70F0" w:rsidRPr="00AA01E7" w:rsidRDefault="002C70F0" w:rsidP="002C7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B5958" id="Rounded Rectangle 3" o:spid="_x0000_s1026" style="position:absolute;margin-left:164.05pt;margin-top:1.85pt;width:300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" fillcolor="white [3201]" strokecolor="#bdd6ee [1300]" strokeweight="2.5pt">
                <v:shadow color="#868686"/>
                <v:textbox>
                  <w:txbxContent>
                    <w:p w14:paraId="26554C6F" w14:textId="77777777" w:rsidR="002C70F0" w:rsidRPr="00DB218D" w:rsidRDefault="002C70F0" w:rsidP="002C70F0">
                      <w:pPr>
                        <w:pStyle w:val="Subtitle"/>
                        <w:rPr>
                          <w:rFonts w:ascii="Arial" w:hAnsi="Arial" w:cs="Arial"/>
                          <w:color w:val="0A3399"/>
                          <w:sz w:val="28"/>
                          <w:szCs w:val="28"/>
                          <w:lang w:val="en-GB"/>
                        </w:rPr>
                      </w:pPr>
                      <w:r w:rsidRPr="00DB218D">
                        <w:rPr>
                          <w:rFonts w:ascii="Arial" w:hAnsi="Arial" w:cs="Arial"/>
                          <w:color w:val="0A3399"/>
                          <w:sz w:val="28"/>
                          <w:szCs w:val="28"/>
                          <w:lang w:val="en-GB"/>
                        </w:rPr>
                        <w:t>1</w:t>
                      </w:r>
                      <w:r w:rsidRPr="00DB218D">
                        <w:rPr>
                          <w:rFonts w:ascii="Arial" w:hAnsi="Arial" w:cs="Arial"/>
                          <w:color w:val="0A3399"/>
                          <w:sz w:val="28"/>
                          <w:szCs w:val="28"/>
                          <w:vertAlign w:val="superscript"/>
                          <w:lang w:val="en-GB"/>
                        </w:rPr>
                        <w:t>st</w:t>
                      </w:r>
                      <w:r w:rsidRPr="00DB218D">
                        <w:rPr>
                          <w:rFonts w:ascii="Arial" w:hAnsi="Arial" w:cs="Arial"/>
                          <w:color w:val="0A3399"/>
                          <w:sz w:val="28"/>
                          <w:szCs w:val="28"/>
                          <w:lang w:val="en-GB"/>
                        </w:rPr>
                        <w:t xml:space="preserve"> Meeting of the Monitoring Committee </w:t>
                      </w:r>
                    </w:p>
                    <w:p w14:paraId="3161FF10" w14:textId="77777777" w:rsidR="002C70F0" w:rsidRPr="00DB218D" w:rsidRDefault="002C70F0" w:rsidP="002C70F0">
                      <w:pPr>
                        <w:pStyle w:val="Subtitle"/>
                        <w:rPr>
                          <w:rFonts w:ascii="Arial" w:hAnsi="Arial" w:cs="Arial"/>
                          <w:color w:val="0A3399"/>
                          <w:sz w:val="28"/>
                          <w:szCs w:val="28"/>
                          <w:lang w:val="en-GB"/>
                        </w:rPr>
                      </w:pPr>
                      <w:r w:rsidRPr="00DB218D">
                        <w:rPr>
                          <w:rFonts w:ascii="Arial" w:hAnsi="Arial" w:cs="Arial"/>
                          <w:color w:val="0A3399"/>
                          <w:sz w:val="28"/>
                          <w:szCs w:val="28"/>
                          <w:lang w:val="en-GB"/>
                        </w:rPr>
                        <w:t>of Interreg V-A Latvia-Lithuania Programme 2014 – 2020</w:t>
                      </w:r>
                    </w:p>
                    <w:p w14:paraId="1782E042" w14:textId="77777777" w:rsidR="002C70F0" w:rsidRPr="00DA5C8E" w:rsidRDefault="002C70F0" w:rsidP="002C70F0">
                      <w:pPr>
                        <w:jc w:val="center"/>
                        <w:rPr>
                          <w:rFonts w:ascii="Arial" w:hAnsi="Arial" w:cs="Arial"/>
                          <w:color w:val="143366"/>
                          <w:sz w:val="28"/>
                          <w:szCs w:val="28"/>
                        </w:rPr>
                      </w:pPr>
                    </w:p>
                    <w:p w14:paraId="12E1F67B" w14:textId="77777777" w:rsidR="002C70F0" w:rsidRPr="00AA01E7" w:rsidRDefault="002C70F0" w:rsidP="002C70F0"/>
                  </w:txbxContent>
                </v:textbox>
                <w10:wrap type="square"/>
              </v:roundrect>
            </w:pict>
          </mc:Fallback>
        </mc:AlternateContent>
      </w:r>
      <w:r w:rsidR="002C70F0" w:rsidRPr="001875AB">
        <w:rPr>
          <w:rFonts w:ascii="Arial" w:hAnsi="Arial" w:cs="Arial"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1" locked="0" layoutInCell="1" allowOverlap="1" wp14:anchorId="4FAF7330" wp14:editId="18E2D9C6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2453640" cy="695325"/>
            <wp:effectExtent l="19050" t="0" r="3810" b="0"/>
            <wp:wrapTight wrapText="bothSides">
              <wp:wrapPolygon edited="0">
                <wp:start x="-168" y="0"/>
                <wp:lineTo x="-168" y="21304"/>
                <wp:lineTo x="21634" y="21304"/>
                <wp:lineTo x="21634" y="0"/>
                <wp:lineTo x="-16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68BE30" w14:textId="77777777" w:rsidR="001A3CF4" w:rsidRPr="00CA6C45" w:rsidRDefault="001A3CF4">
      <w:pPr>
        <w:rPr>
          <w:lang w:val="en-US"/>
        </w:rPr>
      </w:pPr>
    </w:p>
    <w:p w14:paraId="59552A3A" w14:textId="77777777" w:rsidR="000E7073" w:rsidRPr="00D9776A" w:rsidRDefault="00045E5A" w:rsidP="00693FCB">
      <w:pPr>
        <w:jc w:val="center"/>
        <w:rPr>
          <w:b/>
          <w:color w:val="C00000"/>
          <w:sz w:val="32"/>
          <w:szCs w:val="32"/>
          <w:lang w:val="en-US"/>
        </w:rPr>
      </w:pPr>
      <w:r w:rsidRPr="00462DA5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 xml:space="preserve">List </w:t>
      </w:r>
      <w:r w:rsidRPr="00D9776A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>of d</w:t>
      </w:r>
      <w:r w:rsidR="000E7073" w:rsidRPr="00D9776A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 xml:space="preserve">ecisions of </w:t>
      </w:r>
      <w:r w:rsidRPr="00D9776A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 xml:space="preserve">the </w:t>
      </w:r>
      <w:r w:rsidR="000E7073" w:rsidRPr="00D9776A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>1</w:t>
      </w:r>
      <w:r w:rsidR="000E7073" w:rsidRPr="00D9776A">
        <w:rPr>
          <w:rFonts w:ascii="Arial" w:eastAsia="Times New Roman" w:hAnsi="Arial" w:cs="Arial"/>
          <w:b/>
          <w:color w:val="C00000"/>
          <w:sz w:val="32"/>
          <w:szCs w:val="32"/>
          <w:vertAlign w:val="superscript"/>
          <w:lang w:val="en-US"/>
        </w:rPr>
        <w:t>st</w:t>
      </w:r>
      <w:r w:rsidR="000E7073" w:rsidRPr="00D9776A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 xml:space="preserve"> </w:t>
      </w:r>
      <w:r w:rsidR="00132534" w:rsidRPr="00D9776A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 xml:space="preserve">meeting of the </w:t>
      </w:r>
      <w:r w:rsidR="000E7073" w:rsidRPr="00D9776A">
        <w:rPr>
          <w:rFonts w:ascii="Arial" w:eastAsia="Times New Roman" w:hAnsi="Arial" w:cs="Arial"/>
          <w:b/>
          <w:color w:val="C00000"/>
          <w:sz w:val="32"/>
          <w:szCs w:val="32"/>
          <w:lang w:val="en-US"/>
        </w:rPr>
        <w:t>Monitoring Committee of Interreg V-A Latvia-Lithuania Programme 2014 – 2020</w:t>
      </w:r>
    </w:p>
    <w:p w14:paraId="3341D767" w14:textId="77777777" w:rsidR="001A3CF4" w:rsidRPr="00D9776A" w:rsidRDefault="001A3CF4" w:rsidP="000E7073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</w:p>
    <w:p w14:paraId="7FF14635" w14:textId="6A5AF943" w:rsidR="002C70F0" w:rsidRPr="00D9776A" w:rsidRDefault="007F3FD8" w:rsidP="000E7073">
      <w:pPr>
        <w:spacing w:after="0" w:line="276" w:lineRule="auto"/>
        <w:jc w:val="both"/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During the </w:t>
      </w:r>
      <w:r w:rsidR="00C24AA3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>1</w:t>
      </w:r>
      <w:r w:rsidR="00C24AA3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vertAlign w:val="superscript"/>
          <w:lang w:val="en-US"/>
        </w:rPr>
        <w:t>st</w:t>
      </w:r>
      <w:r w:rsidR="00C24AA3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13253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meeting of the </w:t>
      </w:r>
      <w:r w:rsidR="002C70F0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Monitoring Committee </w:t>
      </w:r>
      <w:r w:rsidR="00C24AA3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of </w:t>
      </w:r>
      <w:r w:rsidR="000E7073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>Interreg</w:t>
      </w:r>
      <w:r w:rsidR="00C24AA3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 V-A Latvia-Lithuania Programme 2014 –</w:t>
      </w:r>
      <w:r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 2020</w:t>
      </w:r>
      <w:r w:rsidR="00543CDE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 (hereinafter – Programme)</w:t>
      </w:r>
      <w:r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, </w:t>
      </w:r>
      <w:r w:rsidR="00A9698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>taking place on March 3</w:t>
      </w:r>
      <w:r w:rsidR="000001D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A9698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>-</w:t>
      </w:r>
      <w:r w:rsidR="000001D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13253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>4, 2016 in Riga, Latvia</w:t>
      </w:r>
      <w:r w:rsidR="00EF6E4A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>,</w:t>
      </w:r>
      <w:r w:rsidR="0013253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 the </w:t>
      </w:r>
      <w:r w:rsidR="00A96984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 xml:space="preserve">Monitoring Committee </w:t>
      </w:r>
      <w:r w:rsidR="00C104A6" w:rsidRPr="00D9776A">
        <w:rPr>
          <w:rFonts w:ascii="Arial" w:eastAsia="Times New Roman" w:hAnsi="Arial" w:cs="Arial"/>
          <w:color w:val="3B3838" w:themeColor="background2" w:themeShade="40"/>
          <w:sz w:val="32"/>
          <w:szCs w:val="32"/>
          <w:lang w:val="en-US"/>
        </w:rPr>
        <w:t>has agreed on the following:</w:t>
      </w:r>
    </w:p>
    <w:p w14:paraId="661F5D82" w14:textId="77777777" w:rsidR="00C104A6" w:rsidRPr="00D9776A" w:rsidRDefault="00C104A6">
      <w:pPr>
        <w:rPr>
          <w:color w:val="3B3838" w:themeColor="background2" w:themeShade="40"/>
          <w:sz w:val="32"/>
          <w:szCs w:val="32"/>
          <w:lang w:val="en-US"/>
        </w:rPr>
      </w:pPr>
    </w:p>
    <w:p w14:paraId="5C53209D" w14:textId="25537D12" w:rsidR="00587E2A" w:rsidRPr="00D9776A" w:rsidRDefault="00587E2A" w:rsidP="00587E2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adopt the 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Agenda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(Annex</w:t>
      </w:r>
      <w:r w:rsidR="000F710C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1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)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</w:t>
      </w:r>
    </w:p>
    <w:p w14:paraId="7C16FF72" w14:textId="449DE115" w:rsidR="00587E2A" w:rsidRPr="00D9776A" w:rsidRDefault="00587E2A" w:rsidP="00587E2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set up the Monitoring Committee and to adopt </w:t>
      </w:r>
      <w:r w:rsidR="007656C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the 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Rules of Proced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ure of the Monitoring Committee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(Annex</w:t>
      </w:r>
      <w:r w:rsidR="000F710C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2 and 3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)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</w:t>
      </w:r>
    </w:p>
    <w:p w14:paraId="1952C582" w14:textId="7554037D" w:rsidR="00C24AA3" w:rsidRPr="00D9776A" w:rsidRDefault="00EA6B06" w:rsidP="00BC64C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adopt </w:t>
      </w:r>
      <w:r w:rsidR="0058607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Programme </w:t>
      </w:r>
      <w:r w:rsidR="00C24AA3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Work Plan for </w:t>
      </w:r>
      <w:r w:rsidR="00C9634F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year 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2016.</w:t>
      </w:r>
    </w:p>
    <w:p w14:paraId="20023A67" w14:textId="03B80566" w:rsidR="00F750F4" w:rsidRPr="00D9776A" w:rsidRDefault="00F750F4" w:rsidP="00BC64C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agree that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P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rogramme O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pening event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in 2016 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will be held in Latvia and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Programme 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Closure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event will take place in Lithuania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. </w:t>
      </w:r>
    </w:p>
    <w:p w14:paraId="31E9E4F9" w14:textId="66639DF9" w:rsidR="003414F8" w:rsidRPr="00D9776A" w:rsidRDefault="003414F8" w:rsidP="003414F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To agree on indicative timeline of the 1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vertAlign w:val="superscript"/>
          <w:lang w:val="en-US"/>
        </w:rPr>
        <w:t>st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Call for Proposals: </w:t>
      </w:r>
    </w:p>
    <w:p w14:paraId="5992488F" w14:textId="449EE165" w:rsidR="003414F8" w:rsidRPr="00D9776A" w:rsidRDefault="00E94681" w:rsidP="003414F8">
      <w:pPr>
        <w:pStyle w:val="ListParagraph"/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5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.1.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foresee at least 3 months for 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submission of 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application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s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within 1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vertAlign w:val="superscript"/>
          <w:lang w:val="en-US"/>
        </w:rPr>
        <w:t>st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Call for Proposals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;</w:t>
      </w:r>
    </w:p>
    <w:p w14:paraId="7D3FD37B" w14:textId="7AB754D3" w:rsidR="003414F8" w:rsidRPr="00D9776A" w:rsidRDefault="00E94681" w:rsidP="003414F8">
      <w:pPr>
        <w:pStyle w:val="ListParagraph"/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5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.2.</w:t>
      </w:r>
      <w:r w:rsidR="00CD29BC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announce the 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1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vertAlign w:val="superscript"/>
          <w:lang w:val="en-US"/>
        </w:rPr>
        <w:t>st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Call for Proposals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no later than by the end of April 2016 and to decide on the exact date 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via </w:t>
      </w:r>
      <w:r w:rsidR="00EF6E4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the </w:t>
      </w:r>
      <w:r w:rsidR="00A9048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Monitoring Committee 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writte</w:t>
      </w:r>
      <w:r w:rsidR="007D3C14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n procedure on Programme Manual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;</w:t>
      </w:r>
    </w:p>
    <w:p w14:paraId="47C7196C" w14:textId="42313FEB" w:rsidR="003414F8" w:rsidRPr="00D9776A" w:rsidRDefault="00E94681" w:rsidP="007C230A">
      <w:pPr>
        <w:pStyle w:val="ListParagraph"/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lastRenderedPageBreak/>
        <w:t>5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.3.</w:t>
      </w:r>
      <w:r w:rsidR="00CD29BC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3414F8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keep all Priorities opened for the 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1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vertAlign w:val="superscript"/>
          <w:lang w:val="en-US"/>
        </w:rPr>
        <w:t>st</w:t>
      </w:r>
      <w:r w:rsidR="00D74D46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Call for Proposals</w:t>
      </w:r>
      <w:r w:rsidR="007C230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within available financing</w:t>
      </w:r>
      <w:r w:rsidR="00CD29BC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</w:t>
      </w:r>
    </w:p>
    <w:p w14:paraId="0EF66C45" w14:textId="74807ECD" w:rsidR="00D35279" w:rsidRPr="00D9776A" w:rsidRDefault="005B210B" w:rsidP="00E16D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adopt</w:t>
      </w:r>
      <w:r w:rsidR="00A625C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58607A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Programme </w:t>
      </w:r>
      <w:r w:rsidR="00761FE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Technical Assistance</w:t>
      </w:r>
      <w:r w:rsidR="00C24AA3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budget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and</w:t>
      </w:r>
      <w:r w:rsidR="008D7D64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8F10D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its description for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the </w:t>
      </w:r>
      <w:r w:rsidR="008F10D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period 2016-2022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;</w:t>
      </w:r>
      <w:r w:rsidR="008F10D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agree on </w:t>
      </w:r>
      <w:r w:rsidR="008F10D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automatic reallocation of savings 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of </w:t>
      </w:r>
      <w:r w:rsidR="008F10D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respective 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year to the following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budget 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year 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within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the same categories;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decide 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within the Monitoring Committee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on 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any </w:t>
      </w:r>
      <w:r w:rsidR="00ED3303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further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changes </w:t>
      </w:r>
      <w:r w:rsidR="00E94681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in the Programme Technical Assistance budget</w:t>
      </w:r>
      <w:r w:rsidR="003B574D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</w:t>
      </w:r>
    </w:p>
    <w:p w14:paraId="35482BFF" w14:textId="14CF0E48" w:rsidR="009C653D" w:rsidRPr="00D9776A" w:rsidRDefault="009C653D" w:rsidP="00285FD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</w:t>
      </w:r>
      <w:r w:rsidR="00B73D1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set up </w:t>
      </w:r>
      <w:r w:rsidR="00F129A3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the T</w:t>
      </w:r>
      <w:r w:rsidR="00B73D1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ask Force to </w:t>
      </w:r>
      <w:r w:rsidR="00F129A3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agree on pending/</w:t>
      </w:r>
      <w:r w:rsidR="00B73D1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open questions </w:t>
      </w:r>
      <w:r w:rsidR="00D47A8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on the Programme Manual and supporting documents (including methodology and criteria for selection of projects)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;</w:t>
      </w:r>
      <w:r w:rsidR="00B73D1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</w:t>
      </w:r>
      <w:r w:rsidR="00285FD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launch a </w:t>
      </w:r>
      <w:r w:rsidR="00A9048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Monitoring Committee </w:t>
      </w:r>
      <w:r w:rsidR="00285FD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written procedure for the approval of the Programme Manual 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and supporting documents (including methodology and criteria for selection of projects) in </w:t>
      </w:r>
      <w:r w:rsidR="00B73D1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accordance with the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time frame </w:t>
      </w:r>
      <w:r w:rsidR="00B73D1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set up in 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decision </w:t>
      </w:r>
      <w:r w:rsidR="00B73D19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point 5</w:t>
      </w:r>
      <w:r w:rsidR="00E16DA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.2.</w:t>
      </w:r>
    </w:p>
    <w:p w14:paraId="02E77930" w14:textId="0B634B29" w:rsidR="002C70F0" w:rsidRDefault="00F750F4" w:rsidP="00A9048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To agree that in year 2016 at least one more meeting </w:t>
      </w:r>
      <w:r w:rsidR="005A03B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of the Monitoring Committee 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will be organized</w:t>
      </w:r>
      <w:r w:rsidR="00A9048E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 in Lithuania (region Utena)</w:t>
      </w:r>
      <w:r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>; in case of necessity additional meetings can be initiated</w:t>
      </w:r>
      <w:r w:rsidR="005A03B5" w:rsidRPr="00D9776A"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  <w:t xml:space="preserve">. </w:t>
      </w:r>
    </w:p>
    <w:p w14:paraId="663E0B40" w14:textId="77777777" w:rsidR="007D3C14" w:rsidRDefault="007D3C14" w:rsidP="007D3C14">
      <w:pPr>
        <w:pStyle w:val="ListParagraph"/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</w:p>
    <w:p w14:paraId="754285F7" w14:textId="77777777" w:rsidR="007D3C14" w:rsidRPr="00D9776A" w:rsidRDefault="007D3C14" w:rsidP="007D3C14">
      <w:pPr>
        <w:pStyle w:val="ListParagraph"/>
        <w:spacing w:after="0" w:line="276" w:lineRule="auto"/>
        <w:jc w:val="both"/>
        <w:rPr>
          <w:rFonts w:ascii="Arial" w:hAnsi="Arial" w:cs="Arial"/>
          <w:color w:val="3B3838" w:themeColor="background2" w:themeShade="40"/>
          <w:sz w:val="32"/>
          <w:szCs w:val="32"/>
          <w:lang w:val="en-US"/>
        </w:rPr>
      </w:pPr>
    </w:p>
    <w:p w14:paraId="0520DD84" w14:textId="77777777" w:rsidR="002C70F0" w:rsidRPr="00D9776A" w:rsidRDefault="002C70F0">
      <w:pPr>
        <w:rPr>
          <w:sz w:val="32"/>
          <w:szCs w:val="32"/>
          <w:lang w:val="en-US"/>
        </w:rPr>
      </w:pPr>
    </w:p>
    <w:p w14:paraId="58DEB179" w14:textId="07C8906B" w:rsidR="002C70F0" w:rsidRPr="00D9776A" w:rsidRDefault="00693FCB">
      <w:pPr>
        <w:rPr>
          <w:rFonts w:ascii="Arial" w:hAnsi="Arial" w:cs="Arial"/>
          <w:bCs/>
          <w:color w:val="3B3838" w:themeColor="background2" w:themeShade="40"/>
          <w:sz w:val="32"/>
          <w:szCs w:val="32"/>
          <w:lang w:val="en-US"/>
        </w:rPr>
      </w:pPr>
      <w:r w:rsidRPr="00D9776A">
        <w:rPr>
          <w:rFonts w:ascii="Arial" w:hAnsi="Arial" w:cs="Arial"/>
          <w:bCs/>
          <w:color w:val="3B3838" w:themeColor="background2" w:themeShade="40"/>
          <w:sz w:val="32"/>
          <w:szCs w:val="32"/>
          <w:lang w:val="en-US"/>
        </w:rPr>
        <w:t xml:space="preserve">Chairperson                                </w:t>
      </w:r>
      <w:r w:rsidR="00462DA5" w:rsidRPr="00D9776A">
        <w:rPr>
          <w:rFonts w:ascii="Arial" w:hAnsi="Arial" w:cs="Arial"/>
          <w:bCs/>
          <w:color w:val="3B3838" w:themeColor="background2" w:themeShade="40"/>
          <w:sz w:val="32"/>
          <w:szCs w:val="32"/>
          <w:lang w:val="en-US"/>
        </w:rPr>
        <w:t xml:space="preserve">                   </w:t>
      </w:r>
      <w:r w:rsidRPr="00D9776A">
        <w:rPr>
          <w:rFonts w:ascii="Arial" w:hAnsi="Arial" w:cs="Arial"/>
          <w:bCs/>
          <w:color w:val="3B3838" w:themeColor="background2" w:themeShade="40"/>
          <w:sz w:val="32"/>
          <w:szCs w:val="32"/>
          <w:lang w:val="en-US"/>
        </w:rPr>
        <w:t>Ms Ilze Krieva</w:t>
      </w:r>
    </w:p>
    <w:p w14:paraId="35BF1B7A" w14:textId="77777777" w:rsidR="00ED3303" w:rsidRDefault="00ED3303">
      <w:pPr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</w:pPr>
    </w:p>
    <w:p w14:paraId="141A4E44" w14:textId="77777777" w:rsidR="007D3C14" w:rsidRPr="00462DA5" w:rsidRDefault="007D3C14">
      <w:pPr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</w:pPr>
    </w:p>
    <w:p w14:paraId="7F8DF9B3" w14:textId="1D44529A" w:rsidR="00ED3303" w:rsidRPr="00462DA5" w:rsidRDefault="00ED3303" w:rsidP="00ED3303">
      <w:pPr>
        <w:spacing w:after="0"/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</w:pPr>
      <w:r w:rsidRPr="00462DA5"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  <w:t>Responsible person</w:t>
      </w:r>
    </w:p>
    <w:p w14:paraId="04B134D4" w14:textId="4CAA1CDF" w:rsidR="00ED3303" w:rsidRPr="00462DA5" w:rsidRDefault="00ED3303" w:rsidP="00ED3303">
      <w:pPr>
        <w:spacing w:after="0"/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</w:pPr>
      <w:r w:rsidRPr="00462DA5"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  <w:t xml:space="preserve">of the Joint Secretariat                            </w:t>
      </w:r>
      <w:r w:rsidR="00462DA5"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  <w:t xml:space="preserve">     </w:t>
      </w:r>
      <w:r w:rsidRPr="00462DA5">
        <w:rPr>
          <w:rFonts w:ascii="Arial" w:hAnsi="Arial" w:cs="Arial"/>
          <w:bCs/>
          <w:color w:val="3B3838" w:themeColor="background2" w:themeShade="40"/>
          <w:sz w:val="32"/>
          <w:szCs w:val="32"/>
          <w:lang w:val="en-GB"/>
        </w:rPr>
        <w:t xml:space="preserve"> Ms Anda Apse </w:t>
      </w:r>
    </w:p>
    <w:sectPr w:rsidR="00ED3303" w:rsidRPr="00462DA5" w:rsidSect="00564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411"/>
    <w:multiLevelType w:val="hybridMultilevel"/>
    <w:tmpl w:val="74A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87C"/>
    <w:multiLevelType w:val="hybridMultilevel"/>
    <w:tmpl w:val="B3C883C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21126"/>
    <w:multiLevelType w:val="hybridMultilevel"/>
    <w:tmpl w:val="302E9BA6"/>
    <w:lvl w:ilvl="0" w:tplc="1460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82"/>
    <w:rsid w:val="000001D4"/>
    <w:rsid w:val="000001FF"/>
    <w:rsid w:val="000009D0"/>
    <w:rsid w:val="00016613"/>
    <w:rsid w:val="00034C3C"/>
    <w:rsid w:val="00045E5A"/>
    <w:rsid w:val="000552C5"/>
    <w:rsid w:val="00055F5D"/>
    <w:rsid w:val="00075BDB"/>
    <w:rsid w:val="000D54C1"/>
    <w:rsid w:val="000E7073"/>
    <w:rsid w:val="000F3A99"/>
    <w:rsid w:val="000F710C"/>
    <w:rsid w:val="00103E8A"/>
    <w:rsid w:val="00120860"/>
    <w:rsid w:val="00132534"/>
    <w:rsid w:val="0013531E"/>
    <w:rsid w:val="0018668A"/>
    <w:rsid w:val="00187282"/>
    <w:rsid w:val="001A293A"/>
    <w:rsid w:val="001A3CF4"/>
    <w:rsid w:val="001C7287"/>
    <w:rsid w:val="001D2B20"/>
    <w:rsid w:val="00201CED"/>
    <w:rsid w:val="00206F75"/>
    <w:rsid w:val="00246220"/>
    <w:rsid w:val="00267F6C"/>
    <w:rsid w:val="00285FDE"/>
    <w:rsid w:val="002868F7"/>
    <w:rsid w:val="002B76F7"/>
    <w:rsid w:val="002C70F0"/>
    <w:rsid w:val="003414F8"/>
    <w:rsid w:val="003416BF"/>
    <w:rsid w:val="00392551"/>
    <w:rsid w:val="003B574D"/>
    <w:rsid w:val="003C0CC0"/>
    <w:rsid w:val="0044012C"/>
    <w:rsid w:val="00451106"/>
    <w:rsid w:val="00462DA5"/>
    <w:rsid w:val="00464925"/>
    <w:rsid w:val="00471E32"/>
    <w:rsid w:val="004A56BD"/>
    <w:rsid w:val="004B42CC"/>
    <w:rsid w:val="004C1684"/>
    <w:rsid w:val="004F151C"/>
    <w:rsid w:val="004F7DC4"/>
    <w:rsid w:val="005032AA"/>
    <w:rsid w:val="0051441D"/>
    <w:rsid w:val="00531B40"/>
    <w:rsid w:val="00536B19"/>
    <w:rsid w:val="00543CDE"/>
    <w:rsid w:val="0054539B"/>
    <w:rsid w:val="005457DA"/>
    <w:rsid w:val="00552A24"/>
    <w:rsid w:val="005615B0"/>
    <w:rsid w:val="005627AD"/>
    <w:rsid w:val="005649D2"/>
    <w:rsid w:val="005773BC"/>
    <w:rsid w:val="0058607A"/>
    <w:rsid w:val="00587E2A"/>
    <w:rsid w:val="005A03B5"/>
    <w:rsid w:val="005B210B"/>
    <w:rsid w:val="005E009C"/>
    <w:rsid w:val="005E11FA"/>
    <w:rsid w:val="00643437"/>
    <w:rsid w:val="00645AE1"/>
    <w:rsid w:val="00670790"/>
    <w:rsid w:val="00671ACF"/>
    <w:rsid w:val="006904B2"/>
    <w:rsid w:val="00691D98"/>
    <w:rsid w:val="0069258B"/>
    <w:rsid w:val="006935BB"/>
    <w:rsid w:val="00693FCB"/>
    <w:rsid w:val="006A2CB7"/>
    <w:rsid w:val="006E1D83"/>
    <w:rsid w:val="007304C5"/>
    <w:rsid w:val="00733410"/>
    <w:rsid w:val="00761686"/>
    <w:rsid w:val="00761FED"/>
    <w:rsid w:val="0076384E"/>
    <w:rsid w:val="007656C1"/>
    <w:rsid w:val="007C230A"/>
    <w:rsid w:val="007D3C14"/>
    <w:rsid w:val="007D5899"/>
    <w:rsid w:val="007E66EA"/>
    <w:rsid w:val="007F3FD8"/>
    <w:rsid w:val="007F6D3F"/>
    <w:rsid w:val="00804E28"/>
    <w:rsid w:val="00842F74"/>
    <w:rsid w:val="00877DA9"/>
    <w:rsid w:val="0088174D"/>
    <w:rsid w:val="008C4878"/>
    <w:rsid w:val="008D14CE"/>
    <w:rsid w:val="008D7D64"/>
    <w:rsid w:val="008F10DE"/>
    <w:rsid w:val="0091159C"/>
    <w:rsid w:val="00924372"/>
    <w:rsid w:val="009326B6"/>
    <w:rsid w:val="009679CB"/>
    <w:rsid w:val="0097273E"/>
    <w:rsid w:val="009B1FCE"/>
    <w:rsid w:val="009C0152"/>
    <w:rsid w:val="009C653D"/>
    <w:rsid w:val="009D1E29"/>
    <w:rsid w:val="009D3CD4"/>
    <w:rsid w:val="009D6856"/>
    <w:rsid w:val="009F19E3"/>
    <w:rsid w:val="00A0595D"/>
    <w:rsid w:val="00A07782"/>
    <w:rsid w:val="00A17E44"/>
    <w:rsid w:val="00A17F7C"/>
    <w:rsid w:val="00A45533"/>
    <w:rsid w:val="00A625C9"/>
    <w:rsid w:val="00A64235"/>
    <w:rsid w:val="00A659B5"/>
    <w:rsid w:val="00A742DF"/>
    <w:rsid w:val="00A9048E"/>
    <w:rsid w:val="00A92C30"/>
    <w:rsid w:val="00A96984"/>
    <w:rsid w:val="00AF6CA1"/>
    <w:rsid w:val="00B24421"/>
    <w:rsid w:val="00B41509"/>
    <w:rsid w:val="00B521BA"/>
    <w:rsid w:val="00B538C6"/>
    <w:rsid w:val="00B640C2"/>
    <w:rsid w:val="00B6793B"/>
    <w:rsid w:val="00B73D19"/>
    <w:rsid w:val="00BC64C6"/>
    <w:rsid w:val="00BF1C03"/>
    <w:rsid w:val="00C104A6"/>
    <w:rsid w:val="00C16EFE"/>
    <w:rsid w:val="00C24AA3"/>
    <w:rsid w:val="00C60FF7"/>
    <w:rsid w:val="00C622C3"/>
    <w:rsid w:val="00C86DB1"/>
    <w:rsid w:val="00C9634F"/>
    <w:rsid w:val="00CA030D"/>
    <w:rsid w:val="00CA6C45"/>
    <w:rsid w:val="00CA6CC8"/>
    <w:rsid w:val="00CB0808"/>
    <w:rsid w:val="00CD0D9D"/>
    <w:rsid w:val="00CD29BC"/>
    <w:rsid w:val="00D35279"/>
    <w:rsid w:val="00D35C0F"/>
    <w:rsid w:val="00D47A8E"/>
    <w:rsid w:val="00D71AAB"/>
    <w:rsid w:val="00D74D46"/>
    <w:rsid w:val="00D91F6F"/>
    <w:rsid w:val="00D9776A"/>
    <w:rsid w:val="00DA1020"/>
    <w:rsid w:val="00DA31AF"/>
    <w:rsid w:val="00DB495C"/>
    <w:rsid w:val="00DC39A5"/>
    <w:rsid w:val="00DE54BC"/>
    <w:rsid w:val="00DF2180"/>
    <w:rsid w:val="00E16DA5"/>
    <w:rsid w:val="00E47EEA"/>
    <w:rsid w:val="00E66489"/>
    <w:rsid w:val="00E813D9"/>
    <w:rsid w:val="00E94681"/>
    <w:rsid w:val="00E961CB"/>
    <w:rsid w:val="00EA6B06"/>
    <w:rsid w:val="00EB76A4"/>
    <w:rsid w:val="00ED183B"/>
    <w:rsid w:val="00ED3303"/>
    <w:rsid w:val="00ED43C3"/>
    <w:rsid w:val="00EE604F"/>
    <w:rsid w:val="00EF6E4A"/>
    <w:rsid w:val="00F00375"/>
    <w:rsid w:val="00F129A3"/>
    <w:rsid w:val="00F130DE"/>
    <w:rsid w:val="00F4673F"/>
    <w:rsid w:val="00F47981"/>
    <w:rsid w:val="00F750F4"/>
    <w:rsid w:val="00F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279C"/>
  <w15:docId w15:val="{E4AF7910-F37A-4B21-926B-00D67278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2C70F0"/>
    <w:pPr>
      <w:autoSpaceDE w:val="0"/>
      <w:autoSpaceDN w:val="0"/>
      <w:adjustRightInd w:val="0"/>
      <w:spacing w:before="80" w:after="80" w:line="240" w:lineRule="atLeast"/>
      <w:contextualSpacing/>
      <w:jc w:val="center"/>
    </w:pPr>
    <w:rPr>
      <w:rFonts w:eastAsia="Calibri" w:cs="Calibri-Bold"/>
      <w:b/>
      <w:bCs/>
      <w:color w:val="00507F"/>
      <w:sz w:val="24"/>
      <w:szCs w:val="24"/>
      <w:lang w:val="en-I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C70F0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styleId="ListParagraph">
    <w:name w:val="List Paragraph"/>
    <w:basedOn w:val="Normal"/>
    <w:uiPriority w:val="34"/>
    <w:qFormat/>
    <w:rsid w:val="00C104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5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38F7F-C911-4AFF-B991-44B1AEEA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Apse</dc:creator>
  <cp:lastModifiedBy>Anda Apse</cp:lastModifiedBy>
  <cp:revision>2</cp:revision>
  <dcterms:created xsi:type="dcterms:W3CDTF">2016-03-07T10:59:00Z</dcterms:created>
  <dcterms:modified xsi:type="dcterms:W3CDTF">2016-03-07T10:59:00Z</dcterms:modified>
</cp:coreProperties>
</file>